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57130" w:rsidRDefault="00A57130" w:rsidP="00A57130">
      <w:pPr>
        <w:tabs>
          <w:tab w:val="left" w:pos="284"/>
        </w:tabs>
        <w:spacing w:after="0" w:line="240" w:lineRule="auto"/>
        <w:jc w:val="center"/>
        <w:outlineLvl w:val="1"/>
        <w:rPr>
          <w:rFonts w:ascii="Comic Sans MS" w:eastAsia="Times New Roman" w:hAnsi="Comic Sans MS"/>
          <w:b/>
          <w:bCs/>
          <w:i/>
          <w:color w:val="17365D" w:themeColor="text2" w:themeShade="BF"/>
          <w:sz w:val="32"/>
          <w:szCs w:val="32"/>
          <w:lang w:eastAsia="ru-RU"/>
        </w:rPr>
      </w:pPr>
      <w:r>
        <w:rPr>
          <w:rFonts w:ascii="Comic Sans MS" w:eastAsia="Times New Roman" w:hAnsi="Comic Sans MS"/>
          <w:b/>
          <w:bCs/>
          <w:i/>
          <w:color w:val="17365D" w:themeColor="text2" w:themeShade="BF"/>
          <w:sz w:val="36"/>
          <w:szCs w:val="36"/>
          <w:lang w:eastAsia="ru-RU"/>
        </w:rPr>
        <w:t xml:space="preserve"> </w:t>
      </w:r>
      <w:r w:rsidRPr="00A57130">
        <w:rPr>
          <w:rFonts w:ascii="Comic Sans MS" w:eastAsia="Times New Roman" w:hAnsi="Comic Sans MS"/>
          <w:b/>
          <w:bCs/>
          <w:i/>
          <w:color w:val="17365D" w:themeColor="text2" w:themeShade="BF"/>
          <w:sz w:val="32"/>
          <w:szCs w:val="32"/>
          <w:lang w:eastAsia="ru-RU"/>
        </w:rPr>
        <w:t>Консультация для родителей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jc w:val="center"/>
        <w:outlineLvl w:val="1"/>
        <w:rPr>
          <w:rFonts w:ascii="Comic Sans MS" w:eastAsia="Times New Roman" w:hAnsi="Comic Sans MS"/>
          <w:b/>
          <w:bCs/>
          <w:i/>
          <w:color w:val="17365D" w:themeColor="text2" w:themeShade="BF"/>
          <w:sz w:val="32"/>
          <w:szCs w:val="32"/>
          <w:lang w:eastAsia="ru-RU"/>
        </w:rPr>
      </w:pPr>
    </w:p>
    <w:p w:rsidR="00A57130" w:rsidRPr="00A57130" w:rsidRDefault="00A57130" w:rsidP="00A57130">
      <w:pPr>
        <w:tabs>
          <w:tab w:val="left" w:pos="284"/>
        </w:tabs>
        <w:spacing w:after="0" w:line="240" w:lineRule="auto"/>
        <w:jc w:val="center"/>
        <w:outlineLvl w:val="1"/>
        <w:rPr>
          <w:rFonts w:ascii="Comic Sans MS" w:eastAsia="Times New Roman" w:hAnsi="Comic Sans MS"/>
          <w:b/>
          <w:bCs/>
          <w:i/>
          <w:color w:val="17365D" w:themeColor="text2" w:themeShade="BF"/>
          <w:sz w:val="36"/>
          <w:szCs w:val="36"/>
          <w:lang w:eastAsia="ru-RU"/>
        </w:rPr>
      </w:pPr>
      <w:r w:rsidRPr="00A57130">
        <w:rPr>
          <w:rFonts w:ascii="Comic Sans MS" w:eastAsia="Times New Roman" w:hAnsi="Comic Sans MS"/>
          <w:b/>
          <w:bCs/>
          <w:i/>
          <w:color w:val="17365D" w:themeColor="text2" w:themeShade="BF"/>
          <w:sz w:val="36"/>
          <w:szCs w:val="36"/>
          <w:lang w:eastAsia="ru-RU"/>
        </w:rPr>
        <w:t>Дети с нарушениями речи.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ind w:firstLine="708"/>
        <w:jc w:val="both"/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</w:pPr>
      <w:r w:rsidRPr="00A57130">
        <w:rPr>
          <w:rFonts w:ascii="Comic Sans MS" w:hAnsi="Comic Sans MS"/>
          <w:b/>
          <w:i/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59264" behindDoc="0" locked="0" layoutInCell="1" allowOverlap="1" wp14:anchorId="041DFD96" wp14:editId="0D960630">
            <wp:simplePos x="0" y="0"/>
            <wp:positionH relativeFrom="column">
              <wp:posOffset>96520</wp:posOffset>
            </wp:positionH>
            <wp:positionV relativeFrom="paragraph">
              <wp:posOffset>156845</wp:posOffset>
            </wp:positionV>
            <wp:extent cx="1911350" cy="1816735"/>
            <wp:effectExtent l="0" t="0" r="0" b="0"/>
            <wp:wrapSquare wrapText="bothSides"/>
            <wp:docPr id="1" name="Рисунок 1" descr="Признаки нарушени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наки нарушений реч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Дети с нарушениями речи - это дети, имеющие отклонения в развитии речи при нормальном слухе и сохранном интеллекте.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jc w:val="both"/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</w:pPr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Нарушения речи многообразны, они могут проявляться в нарушении звукопроизношения, грамматического строя речи, бедности словарного запаса, а также в нарушении темпа и плавности речи.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ind w:firstLine="708"/>
        <w:jc w:val="both"/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</w:pPr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По степени тяжести речевые нарушения можно разделить на те, которые не являются препятствием к обучению в массовой школе, и тяжелые нарушения, требующие специального обучения.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ind w:firstLine="708"/>
        <w:jc w:val="both"/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</w:pPr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Однако в массовых детских учреждениях дети с нарушениями речи также нуждаются в специальной помощи. Во многих «общеобразовательных» детских садах детям оказывает помощь логопед. Помимо коррекции речи с малышами занимаются развитием памяти, внимания, мышления, общей и мелкой моторики, обучают грамоте.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ind w:firstLine="708"/>
        <w:jc w:val="both"/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</w:pPr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Успех логопедических занятий во многом зависит от того, насколько в семье способствуют закреплению полученных навыков правильной речи.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jc w:val="both"/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</w:pPr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При тяжелых нарушениях речи обучение детей в массовых детских учреждениях невозможно, поэтому существуют специальные детские сады и школы для детей с тяжелыми нарушениями речи.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ind w:firstLine="708"/>
        <w:jc w:val="both"/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</w:pPr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 xml:space="preserve">Из тяжелых нарушений речи чаще всего встречаются </w:t>
      </w:r>
      <w:proofErr w:type="spellStart"/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ринолалия</w:t>
      </w:r>
      <w:proofErr w:type="spellEnd"/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 xml:space="preserve"> и </w:t>
      </w:r>
      <w:hyperlink r:id="rId6" w:history="1">
        <w:r w:rsidRPr="00A57130">
          <w:rPr>
            <w:rFonts w:ascii="Comic Sans MS" w:eastAsia="Times New Roman" w:hAnsi="Comic Sans MS"/>
            <w:b/>
            <w:i/>
            <w:color w:val="17365D" w:themeColor="text2" w:themeShade="BF"/>
            <w:lang w:eastAsia="ru-RU"/>
          </w:rPr>
          <w:t>дизартрии</w:t>
        </w:r>
      </w:hyperlink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 xml:space="preserve"> различного типа.</w:t>
      </w:r>
    </w:p>
    <w:p w:rsidR="00A57130" w:rsidRPr="00A57130" w:rsidRDefault="00A57130" w:rsidP="00A57130">
      <w:pPr>
        <w:tabs>
          <w:tab w:val="left" w:pos="284"/>
        </w:tabs>
        <w:spacing w:after="0" w:line="240" w:lineRule="auto"/>
        <w:ind w:firstLine="708"/>
        <w:jc w:val="both"/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</w:pPr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К тяжелым нарушениям речи относятся также некоторые формы </w:t>
      </w:r>
      <w:hyperlink r:id="rId7" w:history="1">
        <w:r w:rsidRPr="00A57130">
          <w:rPr>
            <w:rFonts w:ascii="Comic Sans MS" w:eastAsia="Times New Roman" w:hAnsi="Comic Sans MS"/>
            <w:b/>
            <w:i/>
            <w:color w:val="17365D" w:themeColor="text2" w:themeShade="BF"/>
            <w:lang w:eastAsia="ru-RU"/>
          </w:rPr>
          <w:t>заикания</w:t>
        </w:r>
      </w:hyperlink>
      <w:r w:rsidRPr="00A57130">
        <w:rPr>
          <w:rFonts w:ascii="Comic Sans MS" w:eastAsia="Times New Roman" w:hAnsi="Comic Sans MS"/>
          <w:b/>
          <w:i/>
          <w:color w:val="17365D" w:themeColor="text2" w:themeShade="BF"/>
          <w:lang w:eastAsia="ru-RU"/>
        </w:rPr>
        <w:t>, если этот дефект лишает ребенка возможности обучаться в массовой школе. Обучение и воспитание детей с тяжелыми нарушениями речи осуществляется по специальной системе в специальных детских садах или школах для детей с тяжелыми нарушениями речи. Обучение состоит в коррекции дефекта устной речи и подготовке к усвоению грамоты. Пути компенсации зависят от природы дефекта и индивидуальных особенностей ребенка.</w:t>
      </w:r>
    </w:p>
    <w:p w:rsidR="00EE0408" w:rsidRPr="00A57130" w:rsidRDefault="00EE0408" w:rsidP="00A57130">
      <w:pPr>
        <w:spacing w:line="240" w:lineRule="auto"/>
        <w:rPr>
          <w:b/>
          <w:i/>
        </w:rPr>
      </w:pPr>
      <w:bookmarkStart w:id="0" w:name="_GoBack"/>
      <w:bookmarkEnd w:id="0"/>
    </w:p>
    <w:sectPr w:rsidR="00EE0408" w:rsidRPr="00A57130" w:rsidSect="00A57130">
      <w:pgSz w:w="11906" w:h="16838"/>
      <w:pgMar w:top="993" w:right="991" w:bottom="568" w:left="1134" w:header="708" w:footer="708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30"/>
    <w:rsid w:val="00A57130"/>
    <w:rsid w:val="00E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30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30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ped.ru/nar0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oped.ru/nar01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DS_57</dc:creator>
  <cp:lastModifiedBy>DS_57</cp:lastModifiedBy>
  <cp:revision>1</cp:revision>
  <dcterms:created xsi:type="dcterms:W3CDTF">2014-12-22T09:32:00Z</dcterms:created>
  <dcterms:modified xsi:type="dcterms:W3CDTF">2014-12-22T09:35:00Z</dcterms:modified>
</cp:coreProperties>
</file>